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DE32B8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SPA2</w:t>
                            </w:r>
                            <w:r w:rsidR="00D447CA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DE32B8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SPA2</w:t>
                      </w:r>
                      <w:r w:rsidR="00D447CA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DE32B8" w:rsidRDefault="00DE32B8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sz w:val="32"/>
          <w:szCs w:val="32"/>
        </w:rPr>
        <w:t xml:space="preserve">2 x </w:t>
      </w:r>
      <w:r w:rsidR="001D188E">
        <w:rPr>
          <w:rFonts w:ascii="FuturaA Bk BT;Century Gothic" w:hAnsi="FuturaA Bk BT;Century Gothic"/>
          <w:sz w:val="32"/>
          <w:szCs w:val="32"/>
        </w:rPr>
        <w:t>2</w:t>
      </w:r>
      <w:r w:rsidR="00D447CA">
        <w:rPr>
          <w:rFonts w:ascii="FuturaA Bk BT;Century Gothic" w:hAnsi="FuturaA Bk BT;Century Gothic"/>
          <w:sz w:val="32"/>
          <w:szCs w:val="32"/>
        </w:rPr>
        <w:t>4</w:t>
      </w:r>
      <w:r>
        <w:rPr>
          <w:rFonts w:ascii="FuturaA Bk BT;Century Gothic" w:hAnsi="FuturaA Bk BT;Century Gothic"/>
          <w:sz w:val="32"/>
          <w:szCs w:val="32"/>
        </w:rPr>
        <w:t xml:space="preserve">0 Watt / 100 V </w:t>
      </w:r>
    </w:p>
    <w:p w:rsidR="00D96B92" w:rsidRDefault="00DE32B8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sz w:val="32"/>
          <w:szCs w:val="32"/>
        </w:rPr>
        <w:t>Sicherheits-Leistungsverstärker</w:t>
      </w:r>
      <w:proofErr w:type="spellEnd"/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DE32B8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Zweifach Leistungsverstärker Class AB, kurzschlussfest und leerlaufsicher, für sicherheitsrelevante Installationen gemäß EN 60849 zum Betrieb über Netz oder Notstromquellen 24 VDC mit einer Leistung von 2 x </w:t>
          </w:r>
          <w:r w:rsidR="001D18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2</w:t>
          </w:r>
          <w:r w:rsidR="00CD4B9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4</w:t>
          </w: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0 W </w:t>
          </w:r>
          <w:proofErr w:type="gram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</w:t>
          </w:r>
          <w:proofErr w:type="gram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100 V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CD4B9C" w:rsidRPr="00DE32B8" w:rsidRDefault="00CD4B9C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2 x </w:t>
          </w:r>
          <w:r w:rsidR="001D18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2</w:t>
          </w:r>
          <w:r w:rsid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4</w:t>
          </w: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0 W, Class AB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Separater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Aufbau der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Leistungsstufen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Separater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Aufbau der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Audioeingänge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0 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dBU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Audioausgänge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0 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dBU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gepuffert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Lautsprecherausgänge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100 V, 70 V, 8 Ohm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Thermisch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geregelte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Zwangsbelüftung</w:t>
          </w:r>
          <w:proofErr w:type="spellEnd"/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Interne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Status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Steuerausgänge</w:t>
          </w:r>
          <w:proofErr w:type="spellEnd"/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Anschlüsse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steckbare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Schraubklemmen</w:t>
          </w:r>
        </w:p>
        <w:p w:rsidR="00504AFD" w:rsidRDefault="00504AFD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F86BE1" w:rsidRPr="00F86BE1" w:rsidRDefault="00F86BE1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F86BE1" w:rsidRPr="00F86BE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t xml:space="preserve">Aufbau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DE32B8" w:rsidRPr="00D447CA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zwei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sind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Teilen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getrennt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aufgebaut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somit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separate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Netzversorgung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gram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</w:t>
          </w:r>
          <w:proofErr w:type="gram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gemeinsamen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Netzkabel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),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Notstromversorgung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Leistungsstufen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110075" w:rsidRPr="00F86BE1" w:rsidRDefault="00110075" w:rsidP="004279A7">
          <w:pPr>
            <w:ind w:right="-1050"/>
            <w:rPr>
              <w:rFonts w:ascii="Arial" w:hAnsi="Arial" w:cs="Arial"/>
              <w:lang w:val="de-DE"/>
            </w:r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t xml:space="preserve">Bedienelemente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DE32B8" w:rsidRPr="00D447CA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Eingangspegelsteller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Schalter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deaktiviert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befinden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an der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Geräterückseite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um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Fehlbedienungen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zu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reduzieren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Notstromversorgung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verdeckte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Schalter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deaktiviert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10075" w:rsidRPr="00DE32B8" w:rsidRDefault="00110075" w:rsidP="004279A7">
          <w:pPr>
            <w:ind w:right="-1050"/>
            <w:rPr>
              <w:rFonts w:ascii="Arial" w:hAnsi="Arial" w:cs="Arial"/>
              <w:lang w:val="de-DE"/>
            </w:r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t xml:space="preserve">Anzeigen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DE32B8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wird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Aussteuerungsgrad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an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drei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LED-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angezeigt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Je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vier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LED-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geben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Auskunft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folgende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Betriebszustände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: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Übersteuerung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thermische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Überlastung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Notstromversorgung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CD4B9C" w:rsidRDefault="00CD4B9C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CD4B9C" w:rsidRDefault="00CD4B9C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CD4B9C" w:rsidRPr="00D447CA" w:rsidRDefault="00CD4B9C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110075" w:rsidRPr="00DE32B8" w:rsidRDefault="00110075" w:rsidP="004279A7">
          <w:pPr>
            <w:ind w:right="-1050"/>
            <w:rPr>
              <w:rFonts w:ascii="Arial" w:hAnsi="Arial" w:cs="Arial"/>
              <w:lang w:val="de-DE"/>
            </w:r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lastRenderedPageBreak/>
            <w:t xml:space="preserve">Anschlüsse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DE32B8" w:rsidRPr="00D447CA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Neben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Audioeingängen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stehen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gepufferte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Audioausgänge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die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verlustfreies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Weiterschleifen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Eingangssignals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ermöglichen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DE32B8" w:rsidRPr="00D447CA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Ausgänge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betreiben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100 V-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70 V-Technik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niederohmige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Impedanz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Ohm. </w:t>
          </w:r>
        </w:p>
        <w:p w:rsidR="00DE32B8" w:rsidRPr="00D447CA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besitzt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Anschlüsse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gram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</w:t>
          </w:r>
          <w:proofErr w:type="gram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24 V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Notstromquellen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Steuerausgang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Relaiskontakt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DE32B8" w:rsidRPr="00DE32B8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Alle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Anschlüsse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sind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als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steckbare Schraubklemmen, die Audioeingänge und Ausgänge sind parallel dazu auch als XLR-Verbindungen ausgeführt.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t>Schutzeinrichtungen</w:t>
          </w:r>
        </w:p>
        <w:p w:rsidR="00DE32B8" w:rsidRDefault="00DE32B8" w:rsidP="00DE32B8">
          <w:pPr>
            <w:pStyle w:val="Titre1"/>
            <w:keepNext w:val="0"/>
            <w:adjustRightInd w:val="0"/>
            <w:snapToGrid w:val="0"/>
            <w:spacing w:before="0" w:after="0" w:line="240" w:lineRule="auto"/>
            <w:ind w:left="360"/>
            <w:rPr>
              <w:rFonts w:ascii="Arial" w:hAnsi="Arial" w:cs="Arial"/>
              <w:bCs w:val="0"/>
              <w:sz w:val="24"/>
              <w:szCs w:val="24"/>
            </w:rPr>
          </w:pPr>
        </w:p>
        <w:p w:rsidR="00DE32B8" w:rsidRPr="00D447CA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Neben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Schmelzsicherungen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zusätzlich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elektronisch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thermisch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geschützt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thermisch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geregelte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Zwangsbelüftung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schützt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internen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Bauteile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übermäßiger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Erwärmung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Lüfter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Luftaustritt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an der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Geräterückseite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Drehzahl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abhängig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der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Temperatur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innerhalb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Gerätes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mitgeführt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wird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DE32B8" w:rsidRPr="00D447CA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Sicherheitsschaltkreise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ständig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Temperatur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(DC)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jedes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Verstärkers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Störungssummen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jeden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separat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LED-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Störungs-Steuerausgang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D447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DE32B8" w:rsidRPr="00DE32B8" w:rsidRDefault="00DE32B8" w:rsidP="00DE32B8"/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E256BA" w:rsidTr="00D02905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DE32B8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Audioeingänge, Audioausgänge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 Audioeingänge: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Eingangsimpedanz: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 k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symmetrisch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Eingangsempfindlichkeit: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 Audioausgänge: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150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symmetrisch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DE32B8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E32B8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E32B8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.                  </w:t>
                </w:r>
                <w:r w:rsidRPr="00DE32B8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XLR-Verbindungen</w:t>
                </w:r>
              </w:p>
            </w:tc>
          </w:tr>
          <w:tr w:rsidR="005E6F57" w:rsidRPr="00E256BA" w:rsidTr="00DE32B8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5E6F57" w:rsidRPr="005E6F57" w:rsidRDefault="005E6F57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sz w:val="16"/>
                    <w:szCs w:val="16"/>
                    <w:lang w:val="de-DE"/>
                  </w:rPr>
                </w:pPr>
                <w:r w:rsidRPr="005E6F5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</w:t>
                </w:r>
                <w:r w:rsid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udio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5E6F57" w:rsidRPr="005E6F57" w:rsidRDefault="005E6F57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5E6F57" w:rsidRPr="00E256BA" w:rsidTr="005E6F57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5E6F57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Ausgangsleistung: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  <w:right w:val="nil"/>
                </w:tcBorders>
                <w:vAlign w:val="center"/>
              </w:tcPr>
              <w:p w:rsidR="005E6F57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</w:t>
                </w:r>
                <w:r w:rsidR="001D18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="00D447C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 W,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 Ω</w:t>
                </w:r>
              </w:p>
            </w:tc>
          </w:tr>
          <w:tr w:rsidR="005E6F57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5E6F57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E6F57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70 V, 8 Ω</w:t>
                </w:r>
              </w:p>
            </w:tc>
          </w:tr>
          <w:tr w:rsidR="005E6F57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5E6F57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E6F57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A81E40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A81E40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Spannungsverstärkung max.: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81E40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+27 dB</w:t>
                </w:r>
              </w:p>
            </w:tc>
          </w:tr>
          <w:tr w:rsidR="00A81E40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A81E40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81E40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(±3 dB)</w:t>
                </w:r>
              </w:p>
            </w:tc>
          </w:tr>
          <w:tr w:rsidR="00A81E40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A81E40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Verzerrungen (THD):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81E40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1 %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+6 dB, 1k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5E6F57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5E6F57" w:rsidRPr="005E6F57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Dynamik: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E6F57" w:rsidRPr="005E6F57" w:rsidRDefault="00A81E40" w:rsidP="00A81E40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&gt;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86 dB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A81E40" w:rsidRDefault="00A81E40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Anzeigen je Leistungsverstärker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A81E4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grün; -40 dB, -20 dB, 0 dB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Übersteuerung: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grün; +6 dB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Temperatur: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Notstromversorgung: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A81E4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grün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A81E40" w:rsidRDefault="00A81E40" w:rsidP="00A81E4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b/>
                    <w:sz w:val="16"/>
                    <w:szCs w:val="24"/>
                    <w:lang w:val="de-DE"/>
                  </w:rPr>
                </w:pPr>
                <w:r w:rsidRP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Steuerausgang je Leistungsverstärker</w:t>
                </w:r>
                <w:r w:rsidRPr="00117474">
                  <w:rPr>
                    <w:lang w:val="de-DE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Störung: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50 V, 100 mA, NC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A81E40" w:rsidRDefault="00A81E40" w:rsidP="00A81E4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b/>
                    <w:sz w:val="16"/>
                    <w:szCs w:val="24"/>
                    <w:lang w:val="de-DE"/>
                  </w:rPr>
                </w:pPr>
                <w:r w:rsidRP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Schutzeinrichtungen je Leistungsverstärker</w:t>
                </w:r>
                <w:r w:rsidRPr="00117474">
                  <w:rPr>
                    <w:lang w:val="de-DE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Allgemein: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Kurzschluss, Leerlauf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Überlast: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A81E4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Abschaltung bei 100 °C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Kühlung: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Temperaturgeregelte Zwangsbelüftung, v. v. n. h.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Lüfter: </w:t>
                </w:r>
                <w:r w:rsidR="000D538F"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ab 65 °C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A81E40" w:rsidRDefault="00A81E40" w:rsidP="00A81E4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b/>
                    <w:sz w:val="16"/>
                    <w:szCs w:val="24"/>
                    <w:lang w:val="de-DE"/>
                  </w:rPr>
                </w:pPr>
                <w:r w:rsidRP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Stromversorgung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Netzspannung: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67310C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230 VAC, ±5 %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Schmelzsicherung: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 x 20 x 5 mm, 1,25 A (T)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 Volllast: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D447CA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5,6</w:t>
                </w:r>
                <w:r w:rsidR="00A81E40"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Stromaufnahme Leerlauf: </w:t>
                </w: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</w:t>
                </w:r>
                <w:r w:rsidR="00D447C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44</w:t>
                </w: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gesamt</w:t>
                </w:r>
              </w:p>
            </w:tc>
          </w:tr>
          <w:tr w:rsidR="00A81E40" w:rsidRPr="00E256BA" w:rsidTr="007F6062">
            <w:tc>
              <w:tcPr>
                <w:tcW w:w="4386" w:type="dxa"/>
                <w:vAlign w:val="center"/>
              </w:tcPr>
              <w:p w:rsidR="00A81E40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A81E40" w:rsidRPr="00E256BA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Euro-Kaltgerätestecker</w:t>
                </w:r>
              </w:p>
            </w:tc>
          </w:tr>
          <w:tr w:rsidR="00A81E40" w:rsidRPr="00E256BA" w:rsidTr="007F6062">
            <w:tc>
              <w:tcPr>
                <w:tcW w:w="4386" w:type="dxa"/>
                <w:vAlign w:val="center"/>
              </w:tcPr>
              <w:p w:rsidR="00A81E40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Notstromversorgung:</w:t>
                </w:r>
              </w:p>
            </w:tc>
            <w:tc>
              <w:tcPr>
                <w:tcW w:w="4965" w:type="dxa"/>
                <w:vAlign w:val="center"/>
              </w:tcPr>
              <w:p w:rsidR="00A81E40" w:rsidRPr="00E256BA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 x 21 bis 28 VDC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Schmelzsicherung: </w:t>
                </w:r>
                <w:r w:rsidR="000D538F"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20 x 5 mm, </w:t>
                </w:r>
                <w:r w:rsidR="001D18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</w:t>
                </w: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(T)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 Volllast: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D447CA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</w:t>
                </w:r>
                <w:r w:rsidR="0067310C"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  <w:r w:rsidR="0067310C"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 Leerlauf: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67310C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</w:t>
                </w:r>
                <w:r w:rsidR="00D447C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58</w:t>
                </w: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02905" w:rsidRPr="00D02905" w:rsidRDefault="0067310C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7F6062" w:rsidRPr="00E256BA" w:rsidTr="00D02905">
            <w:trPr>
              <w:trHeight w:val="454"/>
            </w:trPr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19”, 2 HE, RAL7016 (anthrazitgrau)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5E6F57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483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  <w:r w:rsid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9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D447C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420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67310C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 w:rsidR="00D447C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  <w:r w:rsidR="007F6062"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 w:rsidR="00D447C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="007F6062"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Fabrikat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67310C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SPA2</w:t>
                </w:r>
                <w:r w:rsidR="00D447CA">
                  <w:rPr>
                    <w:rFonts w:ascii="Arial" w:hAnsi="Arial" w:cs="Arial"/>
                    <w:sz w:val="20"/>
                    <w:szCs w:val="20"/>
                  </w:rPr>
                  <w:t>240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4279A7" w:rsidTr="00D02905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4279A7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4279A7" w:rsidTr="00D02905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4279A7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5064A7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64A7" w:rsidRDefault="005064A7" w:rsidP="0051148C">
      <w:r>
        <w:separator/>
      </w:r>
    </w:p>
  </w:endnote>
  <w:endnote w:type="continuationSeparator" w:id="0">
    <w:p w:rsidR="005064A7" w:rsidRDefault="005064A7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"/>
      <w:gridCol w:w="8541"/>
    </w:tblGrid>
    <w:tr w:rsidR="00504AFD" w:rsidRPr="00781CCF" w:rsidTr="00EB5215">
      <w:trPr>
        <w:trHeight w:val="66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46"/>
    </w:tblGrid>
    <w:tr w:rsidR="00181C3C" w:rsidTr="00D02905">
      <w:trPr>
        <w:trHeight w:val="692"/>
      </w:trPr>
      <w:tc>
        <w:tcPr>
          <w:tcW w:w="499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1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64A7" w:rsidRDefault="005064A7" w:rsidP="0051148C">
      <w:r>
        <w:separator/>
      </w:r>
    </w:p>
  </w:footnote>
  <w:footnote w:type="continuationSeparator" w:id="0">
    <w:p w:rsidR="005064A7" w:rsidRDefault="005064A7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DE32B8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SPA2</w:t>
              </w:r>
              <w:r w:rsidR="00D447CA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240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D447CA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SPA2240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7C51E2A"/>
    <w:multiLevelType w:val="hybridMultilevel"/>
    <w:tmpl w:val="3A66CD18"/>
    <w:lvl w:ilvl="0" w:tplc="5CB038C4">
      <w:start w:val="4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0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2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3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4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5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4894701"/>
    <w:multiLevelType w:val="hybridMultilevel"/>
    <w:tmpl w:val="7638CAF0"/>
    <w:lvl w:ilvl="0" w:tplc="236C6CA6">
      <w:start w:val="4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132184"/>
    <w:multiLevelType w:val="hybridMultilevel"/>
    <w:tmpl w:val="DC9AB6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3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4"/>
  </w:num>
  <w:num w:numId="3">
    <w:abstractNumId w:val="28"/>
  </w:num>
  <w:num w:numId="4">
    <w:abstractNumId w:val="14"/>
  </w:num>
  <w:num w:numId="5">
    <w:abstractNumId w:val="31"/>
  </w:num>
  <w:num w:numId="6">
    <w:abstractNumId w:val="0"/>
  </w:num>
  <w:num w:numId="7">
    <w:abstractNumId w:val="24"/>
  </w:num>
  <w:num w:numId="8">
    <w:abstractNumId w:val="19"/>
  </w:num>
  <w:num w:numId="9">
    <w:abstractNumId w:val="33"/>
  </w:num>
  <w:num w:numId="10">
    <w:abstractNumId w:val="20"/>
  </w:num>
  <w:num w:numId="11">
    <w:abstractNumId w:val="26"/>
  </w:num>
  <w:num w:numId="12">
    <w:abstractNumId w:val="2"/>
  </w:num>
  <w:num w:numId="13">
    <w:abstractNumId w:val="48"/>
  </w:num>
  <w:num w:numId="14">
    <w:abstractNumId w:val="25"/>
  </w:num>
  <w:num w:numId="15">
    <w:abstractNumId w:val="11"/>
  </w:num>
  <w:num w:numId="16">
    <w:abstractNumId w:val="47"/>
  </w:num>
  <w:num w:numId="17">
    <w:abstractNumId w:val="27"/>
  </w:num>
  <w:num w:numId="18">
    <w:abstractNumId w:val="15"/>
  </w:num>
  <w:num w:numId="19">
    <w:abstractNumId w:val="21"/>
  </w:num>
  <w:num w:numId="20">
    <w:abstractNumId w:val="46"/>
  </w:num>
  <w:num w:numId="21">
    <w:abstractNumId w:val="1"/>
  </w:num>
  <w:num w:numId="22">
    <w:abstractNumId w:val="34"/>
  </w:num>
  <w:num w:numId="23">
    <w:abstractNumId w:val="9"/>
  </w:num>
  <w:num w:numId="24">
    <w:abstractNumId w:val="29"/>
  </w:num>
  <w:num w:numId="25">
    <w:abstractNumId w:val="17"/>
  </w:num>
  <w:num w:numId="26">
    <w:abstractNumId w:val="32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3"/>
  </w:num>
  <w:num w:numId="32">
    <w:abstractNumId w:val="18"/>
  </w:num>
  <w:num w:numId="33">
    <w:abstractNumId w:val="6"/>
  </w:num>
  <w:num w:numId="34">
    <w:abstractNumId w:val="42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5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5"/>
  </w:num>
  <w:num w:numId="45">
    <w:abstractNumId w:val="16"/>
  </w:num>
  <w:num w:numId="46">
    <w:abstractNumId w:val="30"/>
  </w:num>
  <w:num w:numId="47">
    <w:abstractNumId w:val="41"/>
  </w:num>
  <w:num w:numId="48">
    <w:abstractNumId w:val="10"/>
  </w:num>
  <w:num w:numId="49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0F75E2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6583D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188E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55671"/>
    <w:rsid w:val="00264A7E"/>
    <w:rsid w:val="00272240"/>
    <w:rsid w:val="00272DC2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16827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711D"/>
    <w:rsid w:val="00424898"/>
    <w:rsid w:val="004279A7"/>
    <w:rsid w:val="004302EB"/>
    <w:rsid w:val="00430C4B"/>
    <w:rsid w:val="00431CD4"/>
    <w:rsid w:val="00432DA6"/>
    <w:rsid w:val="0043443A"/>
    <w:rsid w:val="00443E5F"/>
    <w:rsid w:val="004509CA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064A7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E6F57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51BE1"/>
    <w:rsid w:val="00664714"/>
    <w:rsid w:val="006673CD"/>
    <w:rsid w:val="0067191B"/>
    <w:rsid w:val="00671D84"/>
    <w:rsid w:val="006728E1"/>
    <w:rsid w:val="0067310C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1D18"/>
    <w:rsid w:val="006F2374"/>
    <w:rsid w:val="006F3358"/>
    <w:rsid w:val="006F3CBE"/>
    <w:rsid w:val="007207C3"/>
    <w:rsid w:val="00720FE3"/>
    <w:rsid w:val="00736445"/>
    <w:rsid w:val="00741AEC"/>
    <w:rsid w:val="00742914"/>
    <w:rsid w:val="00742CCC"/>
    <w:rsid w:val="007438CC"/>
    <w:rsid w:val="007606B8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316"/>
    <w:rsid w:val="008F5F57"/>
    <w:rsid w:val="0091714A"/>
    <w:rsid w:val="00926770"/>
    <w:rsid w:val="0093076B"/>
    <w:rsid w:val="00931A46"/>
    <w:rsid w:val="00944A7C"/>
    <w:rsid w:val="009519A9"/>
    <w:rsid w:val="00955ECC"/>
    <w:rsid w:val="00955EEF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81E40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D74B3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C01292"/>
    <w:rsid w:val="00C0155F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D4B9C"/>
    <w:rsid w:val="00CE555A"/>
    <w:rsid w:val="00CE7105"/>
    <w:rsid w:val="00CF32D6"/>
    <w:rsid w:val="00D018E1"/>
    <w:rsid w:val="00D02905"/>
    <w:rsid w:val="00D07869"/>
    <w:rsid w:val="00D12A57"/>
    <w:rsid w:val="00D1360B"/>
    <w:rsid w:val="00D1460C"/>
    <w:rsid w:val="00D244AC"/>
    <w:rsid w:val="00D376FD"/>
    <w:rsid w:val="00D405E5"/>
    <w:rsid w:val="00D447CA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32B8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215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56D2"/>
    <w:rsid w:val="00F374DB"/>
    <w:rsid w:val="00F4432B"/>
    <w:rsid w:val="00F45FBE"/>
    <w:rsid w:val="00F75967"/>
    <w:rsid w:val="00F86BE1"/>
    <w:rsid w:val="00F9503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15D25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666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SPA2240 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2020-03-23T14:19:00Z</dcterms:created>
  <dcterms:modified xsi:type="dcterms:W3CDTF">2020-03-26T13:48:00Z</dcterms:modified>
</cp:coreProperties>
</file>